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6390" w14:textId="77777777" w:rsidR="007C331B" w:rsidRPr="00D275AE" w:rsidRDefault="007C331B" w:rsidP="007C331B">
      <w:pPr>
        <w:pStyle w:val="TitlePageOrigin"/>
        <w:rPr>
          <w:color w:val="auto"/>
        </w:rPr>
      </w:pPr>
      <w:r w:rsidRPr="00D275AE">
        <w:rPr>
          <w:color w:val="auto"/>
        </w:rPr>
        <w:t>WEST virginia legislature</w:t>
      </w:r>
    </w:p>
    <w:p w14:paraId="38E046BC" w14:textId="77777777" w:rsidR="007C331B" w:rsidRPr="00D275AE" w:rsidRDefault="007C331B" w:rsidP="007C331B">
      <w:pPr>
        <w:pStyle w:val="TitlePageSession"/>
        <w:rPr>
          <w:color w:val="auto"/>
        </w:rPr>
      </w:pPr>
      <w:r w:rsidRPr="00D275AE">
        <w:rPr>
          <w:color w:val="auto"/>
        </w:rPr>
        <w:t>2022 second extraordinary session</w:t>
      </w:r>
    </w:p>
    <w:p w14:paraId="0F065ADA" w14:textId="77777777" w:rsidR="007C331B" w:rsidRPr="00D275AE" w:rsidRDefault="003A200B" w:rsidP="007C331B">
      <w:pPr>
        <w:pStyle w:val="TitlePageBillPrefix"/>
        <w:rPr>
          <w:color w:val="auto"/>
        </w:rPr>
      </w:pPr>
      <w:sdt>
        <w:sdtPr>
          <w:rPr>
            <w:color w:val="auto"/>
          </w:rPr>
          <w:tag w:val="IntroDate"/>
          <w:id w:val="-1236936958"/>
          <w:placeholder>
            <w:docPart w:val="5752D856E6034B80B61AEFEB7BA6D4DC"/>
          </w:placeholder>
          <w:text/>
        </w:sdtPr>
        <w:sdtEndPr/>
        <w:sdtContent>
          <w:r w:rsidR="007C331B" w:rsidRPr="00D275AE">
            <w:rPr>
              <w:color w:val="auto"/>
            </w:rPr>
            <w:t>Introduced</w:t>
          </w:r>
        </w:sdtContent>
      </w:sdt>
    </w:p>
    <w:p w14:paraId="01D81000" w14:textId="6D06EDB8" w:rsidR="007C331B" w:rsidRPr="00D275AE" w:rsidRDefault="006055DE" w:rsidP="007C331B">
      <w:pPr>
        <w:pStyle w:val="BillNumber"/>
        <w:rPr>
          <w:color w:val="auto"/>
        </w:rPr>
      </w:pPr>
      <w:r>
        <w:rPr>
          <w:color w:val="auto"/>
        </w:rPr>
        <w:t xml:space="preserve">Senate </w:t>
      </w:r>
      <w:r w:rsidR="007C331B" w:rsidRPr="00D275AE">
        <w:rPr>
          <w:color w:val="auto"/>
        </w:rPr>
        <w:t xml:space="preserve">Bill </w:t>
      </w:r>
      <w:sdt>
        <w:sdtPr>
          <w:rPr>
            <w:color w:val="auto"/>
          </w:rPr>
          <w:tag w:val="BNum"/>
          <w:id w:val="1645317809"/>
          <w:placeholder>
            <w:docPart w:val="93278B80BB4643EC82429A8CD16700E4"/>
          </w:placeholder>
          <w:text/>
        </w:sdtPr>
        <w:sdtEndPr/>
        <w:sdtContent>
          <w:r w:rsidR="003C6DA4">
            <w:rPr>
              <w:color w:val="auto"/>
            </w:rPr>
            <w:t>2003</w:t>
          </w:r>
        </w:sdtContent>
      </w:sdt>
    </w:p>
    <w:p w14:paraId="58EA8952" w14:textId="06ABA82C" w:rsidR="007C331B" w:rsidRPr="00D275AE" w:rsidRDefault="007C331B" w:rsidP="007C331B">
      <w:pPr>
        <w:pStyle w:val="Sponsors"/>
        <w:rPr>
          <w:color w:val="auto"/>
        </w:rPr>
      </w:pPr>
      <w:r w:rsidRPr="00D275AE">
        <w:rPr>
          <w:color w:val="auto"/>
        </w:rPr>
        <w:t xml:space="preserve">By </w:t>
      </w:r>
      <w:r w:rsidR="006055DE">
        <w:rPr>
          <w:color w:val="auto"/>
        </w:rPr>
        <w:t>Senators Blair (Mr. President) and Baldwin</w:t>
      </w:r>
    </w:p>
    <w:p w14:paraId="38A2E6E8" w14:textId="14C371AD" w:rsidR="007C331B" w:rsidRPr="00D275AE" w:rsidRDefault="003C6DA4" w:rsidP="007C331B">
      <w:pPr>
        <w:pStyle w:val="References"/>
        <w:rPr>
          <w:color w:val="auto"/>
        </w:rPr>
      </w:pPr>
      <w:r>
        <w:rPr>
          <w:color w:val="auto"/>
        </w:rPr>
        <w:t>(</w:t>
      </w:r>
      <w:r w:rsidR="007C331B" w:rsidRPr="00D275AE">
        <w:rPr>
          <w:color w:val="auto"/>
        </w:rPr>
        <w:t>By Request of the Executive</w:t>
      </w:r>
      <w:r>
        <w:rPr>
          <w:color w:val="auto"/>
        </w:rPr>
        <w:t>)</w:t>
      </w:r>
    </w:p>
    <w:p w14:paraId="5C813423" w14:textId="2B87FC4B" w:rsidR="007C331B" w:rsidRPr="00D275AE" w:rsidRDefault="007C331B" w:rsidP="003C6DA4">
      <w:pPr>
        <w:pStyle w:val="References"/>
        <w:rPr>
          <w:color w:val="auto"/>
        </w:rPr>
      </w:pPr>
      <w:r w:rsidRPr="00D275AE">
        <w:rPr>
          <w:color w:val="auto"/>
        </w:rPr>
        <w:t>[Introduce</w:t>
      </w:r>
      <w:r w:rsidR="003C6DA4">
        <w:rPr>
          <w:color w:val="auto"/>
        </w:rPr>
        <w:t>d April 25, 2022</w:t>
      </w:r>
      <w:r w:rsidRPr="00D275AE">
        <w:rPr>
          <w:color w:val="auto"/>
        </w:rPr>
        <w:t>]</w:t>
      </w:r>
    </w:p>
    <w:p w14:paraId="7275519A" w14:textId="43FF200A" w:rsidR="007C331B" w:rsidRPr="00D275AE" w:rsidRDefault="007C331B" w:rsidP="007C331B">
      <w:pPr>
        <w:pStyle w:val="TitleSection"/>
        <w:rPr>
          <w:color w:val="auto"/>
        </w:rPr>
      </w:pPr>
      <w:r w:rsidRPr="00D275AE">
        <w:rPr>
          <w:color w:val="auto"/>
        </w:rPr>
        <w:lastRenderedPageBreak/>
        <w:t xml:space="preserve">A BILL </w:t>
      </w:r>
      <w:r w:rsidRPr="00D275AE">
        <w:rPr>
          <w:rFonts w:cs="Arial"/>
          <w:color w:val="auto"/>
        </w:rPr>
        <w:t xml:space="preserve">to amend and reenact §5-10-14 and §5-10-30 of the Code of West Virginia, 1931, as amended, </w:t>
      </w:r>
      <w:bookmarkStart w:id="0" w:name="_Hlk101527495"/>
      <w:r w:rsidRPr="00D275AE">
        <w:rPr>
          <w:rFonts w:cs="Arial"/>
          <w:color w:val="auto"/>
        </w:rPr>
        <w:t>all relating to service credit, retroactive provisions, and the refund of accumulated contributions for certain members of the West Virginia Public Employees Retirement System.</w:t>
      </w:r>
      <w:bookmarkEnd w:id="0"/>
    </w:p>
    <w:p w14:paraId="19C886FF" w14:textId="77777777" w:rsidR="007C331B" w:rsidRPr="00D275AE" w:rsidRDefault="007C331B" w:rsidP="007C331B">
      <w:pPr>
        <w:pStyle w:val="EnactingClause"/>
        <w:rPr>
          <w:color w:val="auto"/>
        </w:rPr>
      </w:pPr>
      <w:r w:rsidRPr="00D275AE">
        <w:rPr>
          <w:color w:val="auto"/>
        </w:rPr>
        <w:t>Be it enacted by the Legislature of West Virginia:</w:t>
      </w:r>
      <w:bookmarkStart w:id="1" w:name="_Hlk79059685"/>
    </w:p>
    <w:p w14:paraId="3CEF9677" w14:textId="77777777" w:rsidR="007C331B" w:rsidRPr="00D275AE" w:rsidRDefault="007C331B" w:rsidP="007C06D6">
      <w:pPr>
        <w:pStyle w:val="ArticleHeading"/>
        <w:rPr>
          <w:i/>
          <w:color w:val="auto"/>
        </w:rPr>
      </w:pPr>
      <w:r w:rsidRPr="00D275AE">
        <w:rPr>
          <w:color w:val="auto"/>
        </w:rPr>
        <w:t>ARTICLE 10. WEST VIRGINIA PUBLIC EMPLOYEES RETIREMENT ACT.</w:t>
      </w:r>
      <w:bookmarkEnd w:id="1"/>
    </w:p>
    <w:p w14:paraId="4E6C250D" w14:textId="77777777" w:rsidR="007C331B" w:rsidRPr="00D275AE" w:rsidRDefault="007C331B" w:rsidP="007C06D6">
      <w:pPr>
        <w:pStyle w:val="SectionHeading"/>
        <w:rPr>
          <w:i/>
          <w:color w:val="auto"/>
        </w:rPr>
      </w:pPr>
      <w:r w:rsidRPr="00D275AE">
        <w:rPr>
          <w:color w:val="auto"/>
        </w:rPr>
        <w:t>§5-10-14. Service credit; retroactive provisions.</w:t>
      </w:r>
    </w:p>
    <w:p w14:paraId="25D64B0D" w14:textId="77777777" w:rsidR="007C331B" w:rsidRPr="00D275AE" w:rsidRDefault="007C331B" w:rsidP="007C331B">
      <w:pPr>
        <w:pStyle w:val="EnactingClause"/>
        <w:rPr>
          <w:color w:val="auto"/>
        </w:rPr>
        <w:sectPr w:rsidR="007C331B" w:rsidRPr="00D275AE" w:rsidSect="007C331B">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lnNumType w:countBy="1" w:restart="newSection"/>
          <w:pgNumType w:start="0"/>
          <w:cols w:space="720"/>
          <w:titlePg/>
          <w:docGrid w:linePitch="360"/>
        </w:sectPr>
      </w:pPr>
    </w:p>
    <w:p w14:paraId="2909F7B5" w14:textId="77777777" w:rsidR="007C331B" w:rsidRPr="00D275AE" w:rsidRDefault="007C331B" w:rsidP="007C06D6">
      <w:pPr>
        <w:pStyle w:val="SectionBody"/>
        <w:rPr>
          <w:color w:val="auto"/>
        </w:rPr>
      </w:pPr>
      <w:r w:rsidRPr="00D275AE">
        <w:rPr>
          <w:color w:val="auto"/>
        </w:rPr>
        <w:t>(a) The board of trustees shall credit each member with the prior service and contributing service to which he or she is entitled based upon rules adopted by the board of trustees and based upon the following:</w:t>
      </w:r>
    </w:p>
    <w:p w14:paraId="7E70A741" w14:textId="77777777" w:rsidR="007C331B" w:rsidRPr="00D275AE" w:rsidRDefault="007C331B" w:rsidP="007C06D6">
      <w:pPr>
        <w:pStyle w:val="SectionBody"/>
        <w:rPr>
          <w:color w:val="auto"/>
        </w:rPr>
      </w:pPr>
      <w:r w:rsidRPr="00D275AE">
        <w:rPr>
          <w:color w:val="auto"/>
        </w:rPr>
        <w:t>(1) In no event may less than 10 days of service rendered by a member in any calendar month be credited as a month of service: </w:t>
      </w:r>
      <w:r w:rsidRPr="00D275AE">
        <w:rPr>
          <w:i/>
          <w:iCs/>
          <w:color w:val="auto"/>
        </w:rPr>
        <w:t>Provided</w:t>
      </w:r>
      <w:r w:rsidRPr="00D275AE">
        <w:rPr>
          <w:color w:val="auto"/>
        </w:rPr>
        <w:t>,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seven consecutive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42CD53E9" w14:textId="77777777" w:rsidR="007C331B" w:rsidRPr="00D275AE" w:rsidRDefault="007C331B" w:rsidP="007C06D6">
      <w:pPr>
        <w:pStyle w:val="SectionBody"/>
        <w:rPr>
          <w:color w:val="auto"/>
        </w:rPr>
      </w:pPr>
      <w:r w:rsidRPr="00D275AE">
        <w:rPr>
          <w:color w:val="auto"/>
        </w:rPr>
        <w:t>(2) Except for hourly employees, and those persons who first become members of the retirement system on or after July 1, 2015, 10 or more months of service credit earned in any calendar year shall be credited as a year of service: </w:t>
      </w:r>
      <w:r w:rsidRPr="00D275AE">
        <w:rPr>
          <w:i/>
          <w:iCs/>
          <w:color w:val="auto"/>
        </w:rPr>
        <w:t>Provided</w:t>
      </w:r>
      <w:r w:rsidRPr="00D275AE">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5A18EFAE" w14:textId="77777777" w:rsidR="007C331B" w:rsidRPr="00D275AE" w:rsidRDefault="007C331B" w:rsidP="007C06D6">
      <w:pPr>
        <w:pStyle w:val="SectionBody"/>
        <w:rPr>
          <w:color w:val="auto"/>
        </w:rPr>
      </w:pPr>
      <w:r w:rsidRPr="00D275AE">
        <w:rPr>
          <w:color w:val="auto"/>
        </w:rPr>
        <w:t xml:space="preserve">(3) Service may be credited to a member who was employed by a political subdivision if </w:t>
      </w:r>
      <w:r w:rsidRPr="00D275AE">
        <w:rPr>
          <w:color w:val="auto"/>
        </w:rPr>
        <w:lastRenderedPageBreak/>
        <w:t>his or her employment occurred within a period of 30 years immediately preceding the date the political subdivision became a participating public employer.</w:t>
      </w:r>
    </w:p>
    <w:p w14:paraId="09AFBE7B" w14:textId="422E5359" w:rsidR="007C331B" w:rsidRPr="00D275AE" w:rsidRDefault="007C331B" w:rsidP="007C06D6">
      <w:pPr>
        <w:pStyle w:val="SectionBody"/>
        <w:rPr>
          <w:color w:val="auto"/>
        </w:rPr>
      </w:pPr>
      <w:r w:rsidRPr="00D275AE">
        <w:rPr>
          <w:color w:val="auto"/>
        </w:rPr>
        <w:t>(b) The board of trustees shall grant service credit to </w:t>
      </w:r>
      <w:r w:rsidRPr="00D275AE">
        <w:rPr>
          <w:strike/>
          <w:color w:val="auto"/>
        </w:rPr>
        <w:t>employees of boards of health, the Clerk of the House of Delegates and the Clerk of the State Senate or to</w:t>
      </w:r>
      <w:r w:rsidRPr="00D275AE">
        <w:rPr>
          <w:color w:val="auto"/>
        </w:rPr>
        <w:t xml:space="preserve"> any former and present member of the State Teachers Retirement System who </w:t>
      </w:r>
      <w:r w:rsidRPr="00D275AE">
        <w:rPr>
          <w:strike/>
          <w:color w:val="auto"/>
        </w:rPr>
        <w:t>have</w:t>
      </w:r>
      <w:r w:rsidR="00703420" w:rsidRPr="00D275AE">
        <w:rPr>
          <w:strike/>
          <w:color w:val="auto"/>
        </w:rPr>
        <w:t xml:space="preserve"> </w:t>
      </w:r>
      <w:r w:rsidRPr="00D275AE">
        <w:rPr>
          <w:strike/>
          <w:color w:val="auto"/>
        </w:rPr>
        <w:t>been</w:t>
      </w:r>
      <w:r w:rsidR="00703420" w:rsidRPr="00D275AE">
        <w:rPr>
          <w:strike/>
          <w:color w:val="auto"/>
        </w:rPr>
        <w:t xml:space="preserve"> </w:t>
      </w:r>
      <w:r w:rsidRPr="00D275AE">
        <w:rPr>
          <w:strike/>
          <w:color w:val="auto"/>
        </w:rPr>
        <w:t>contributing members</w:t>
      </w:r>
      <w:r w:rsidRPr="00D275AE">
        <w:rPr>
          <w:color w:val="auto"/>
        </w:rPr>
        <w:t xml:space="preserve"> </w:t>
      </w:r>
      <w:r w:rsidR="00703420" w:rsidRPr="00D275AE">
        <w:rPr>
          <w:color w:val="auto"/>
          <w:u w:val="single"/>
        </w:rPr>
        <w:t>has been a contributing member</w:t>
      </w:r>
      <w:r w:rsidR="00703420" w:rsidRPr="00D275AE">
        <w:rPr>
          <w:color w:val="auto"/>
        </w:rPr>
        <w:t xml:space="preserve"> </w:t>
      </w:r>
      <w:r w:rsidRPr="00D275AE">
        <w:rPr>
          <w:color w:val="auto"/>
        </w:rPr>
        <w:t>in the Public Employees Retirement System for more than three years, for service previously credited by the State Teachers Retirement System and shall require the transfer of the member's accumulated contributions to the system and shall also require a deposit, with reinstatement interest as set forth in the board’s Rule, Refund, Reinstatement, Retroactive Service, Loan and Correction of Error Interest Factors, 162 C. S. R. 7, of any withdrawals of contributions any time prior to the member's retirement: </w:t>
      </w:r>
      <w:r w:rsidRPr="00D275AE">
        <w:rPr>
          <w:i/>
          <w:iCs/>
          <w:color w:val="auto"/>
          <w:u w:val="single"/>
        </w:rPr>
        <w:t>Provided</w:t>
      </w:r>
      <w:r w:rsidRPr="00D275AE">
        <w:rPr>
          <w:color w:val="auto"/>
          <w:u w:val="single"/>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w:t>
      </w:r>
      <w:r w:rsidRPr="00D275AE">
        <w:rPr>
          <w:color w:val="auto"/>
        </w:rPr>
        <w:t> Repayment of withdrawals shall be as directed by the Board of Trustees.</w:t>
      </w:r>
    </w:p>
    <w:p w14:paraId="362B271C" w14:textId="77777777" w:rsidR="007C331B" w:rsidRPr="00D275AE" w:rsidRDefault="007C331B" w:rsidP="007C06D6">
      <w:pPr>
        <w:pStyle w:val="SectionBody"/>
        <w:rPr>
          <w:color w:val="auto"/>
        </w:rPr>
      </w:pPr>
      <w:r w:rsidRPr="00D275AE">
        <w:rPr>
          <w:color w:val="auto"/>
        </w:rPr>
        <w:t>(c) Court reporters who are acting in an official capacity, although paid by funds other than the county commission or State Auditor, may receive prior service credit for time served in that capacity.</w:t>
      </w:r>
    </w:p>
    <w:p w14:paraId="30884061" w14:textId="77777777" w:rsidR="007C331B" w:rsidRPr="00D275AE" w:rsidRDefault="007C331B" w:rsidP="007C06D6">
      <w:pPr>
        <w:pStyle w:val="SectionBody"/>
        <w:rPr>
          <w:color w:val="auto"/>
        </w:rPr>
      </w:pPr>
      <w:r w:rsidRPr="00D275AE">
        <w:rPr>
          <w:color w:val="auto"/>
        </w:rPr>
        <w:t>(d) Active members who previously worked in Comprehensive Employment and Training Act (CETA) may receive service credit for time served in that capacity: </w:t>
      </w:r>
      <w:r w:rsidRPr="00D275AE">
        <w:rPr>
          <w:i/>
          <w:iCs/>
          <w:color w:val="auto"/>
        </w:rPr>
        <w:t>Provided</w:t>
      </w:r>
      <w:r w:rsidRPr="00D275AE">
        <w:rPr>
          <w:color w:val="auto"/>
        </w:rPr>
        <w:t xml:space="preserve">,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member's CETA employment; (2) the board must receive evidence that establishes to a reasonable degree of certainty as determined by the board that the member </w:t>
      </w:r>
      <w:r w:rsidRPr="00D275AE">
        <w:rPr>
          <w:color w:val="auto"/>
        </w:rPr>
        <w:lastRenderedPageBreak/>
        <w:t>previously worked in CETA; and (3) the member shall pay to the board an amount equal to the employer and employee contribution plus interest at the amount set by the board for the amount of service credit sought pursuant to this subsection: </w:t>
      </w:r>
      <w:r w:rsidRPr="00D275AE">
        <w:rPr>
          <w:i/>
          <w:iCs/>
          <w:color w:val="auto"/>
        </w:rPr>
        <w:t>Provided, however</w:t>
      </w:r>
      <w:r w:rsidRPr="00D275AE">
        <w:rPr>
          <w:color w:val="auto"/>
        </w:rPr>
        <w:t>, That the maximum service credit that may be obtained under the provisions of this subsection is two years: </w:t>
      </w:r>
      <w:r w:rsidRPr="00D275AE">
        <w:rPr>
          <w:i/>
          <w:iCs/>
          <w:color w:val="auto"/>
        </w:rPr>
        <w:t>Provided further</w:t>
      </w:r>
      <w:r w:rsidRPr="00D275AE">
        <w:rPr>
          <w:color w:val="auto"/>
        </w:rPr>
        <w:t>, That a member must apply and pay for the service credit allowed under this subsection and provide all necessary documentation by March 31, 2003: </w:t>
      </w:r>
      <w:r w:rsidRPr="00D275AE">
        <w:rPr>
          <w:i/>
          <w:iCs/>
          <w:color w:val="auto"/>
        </w:rPr>
        <w:t>And provided further</w:t>
      </w:r>
      <w:r w:rsidRPr="00D275AE">
        <w:rPr>
          <w:color w:val="auto"/>
        </w:rPr>
        <w:t>, That the board shall exercise due diligence to notify affected employees of the provisions of this subsection.</w:t>
      </w:r>
    </w:p>
    <w:p w14:paraId="761A8F98" w14:textId="77777777" w:rsidR="007C331B" w:rsidRPr="00D275AE" w:rsidRDefault="007C331B" w:rsidP="007C06D6">
      <w:pPr>
        <w:pStyle w:val="SectionBody"/>
        <w:rPr>
          <w:color w:val="auto"/>
        </w:rPr>
      </w:pPr>
      <w:r w:rsidRPr="00D275AE">
        <w:rPr>
          <w:color w:val="auto"/>
        </w:rPr>
        <w:t>(e)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“regular session”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seven consecutive 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30-day session served prior to 1971: </w:t>
      </w:r>
      <w:r w:rsidRPr="00D275AE">
        <w:rPr>
          <w:i/>
          <w:iCs/>
          <w:color w:val="auto"/>
        </w:rPr>
        <w:t>Provided</w:t>
      </w:r>
      <w:r w:rsidRPr="00D275AE">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13 consecutive calendar years as either temporary employees or full-time employees or a combination thereof, as certified by the clerk of the house in which the employee served, shall receive a service credit of 12 months for each regular session served, as certified by the clerk of </w:t>
      </w:r>
      <w:r w:rsidRPr="00D275AE">
        <w:rPr>
          <w:color w:val="auto"/>
        </w:rPr>
        <w:lastRenderedPageBreak/>
        <w:t>the house in which the employee served: </w:t>
      </w:r>
      <w:r w:rsidRPr="00D275AE">
        <w:rPr>
          <w:i/>
          <w:iCs/>
          <w:color w:val="auto"/>
        </w:rPr>
        <w:t>Provided, however,</w:t>
      </w:r>
      <w:r w:rsidRPr="00D275AE">
        <w:rPr>
          <w:color w:val="auto"/>
        </w:rPr>
        <w:t> 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service credit: </w:t>
      </w:r>
      <w:r w:rsidRPr="00D275AE">
        <w:rPr>
          <w:i/>
          <w:iCs/>
          <w:color w:val="auto"/>
        </w:rPr>
        <w:t>Provided further</w:t>
      </w:r>
      <w:r w:rsidRPr="00D275AE">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55 days of a regular session constitutes an absolute presumption of service for a complete legislative session and service of 27 days of a 30-day regular session occurring prior to 1971 constitutes an absolute presumption of service for a complete legislative session. Once a legislative employee has been employed during regular sessions for seven consecutive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w:t>
      </w:r>
      <w:r w:rsidRPr="00D275AE">
        <w:rPr>
          <w:color w:val="auto"/>
        </w:rPr>
        <w:lastRenderedPageBreak/>
        <w:t>of when the session or interim legislative employment occurred: </w:t>
      </w:r>
      <w:r w:rsidRPr="00D275AE">
        <w:rPr>
          <w:i/>
          <w:iCs/>
          <w:color w:val="auto"/>
        </w:rPr>
        <w:t>And provided further</w:t>
      </w:r>
      <w:r w:rsidRPr="00D275AE">
        <w:rPr>
          <w:color w:val="auto"/>
        </w:rPr>
        <w:t>, That regular session legislative employment for seven consecutive years may be served in either or both houses of the Legislature.</w:t>
      </w:r>
    </w:p>
    <w:p w14:paraId="7403A98F" w14:textId="77777777" w:rsidR="007C331B" w:rsidRPr="00D275AE" w:rsidRDefault="007C331B" w:rsidP="007C06D6">
      <w:pPr>
        <w:pStyle w:val="SectionBody"/>
        <w:rPr>
          <w:color w:val="auto"/>
        </w:rPr>
      </w:pPr>
      <w:r w:rsidRPr="00D275AE">
        <w:rPr>
          <w:color w:val="auto"/>
        </w:rPr>
        <w:t>(2) For purposes of this section, employees of the Joint Committee on Government and Finance are entitled to the same benefits as employees of the House of Delegates or the Senate: </w:t>
      </w:r>
      <w:r w:rsidRPr="00D275AE">
        <w:rPr>
          <w:i/>
          <w:iCs/>
          <w:color w:val="auto"/>
        </w:rPr>
        <w:t>Provided,</w:t>
      </w:r>
      <w:r w:rsidRPr="00D275AE">
        <w:rPr>
          <w:color w:val="auto"/>
        </w:rPr>
        <w:t>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4B8CD027" w14:textId="77777777" w:rsidR="007C331B" w:rsidRPr="00D275AE" w:rsidRDefault="007C331B" w:rsidP="007C06D6">
      <w:pPr>
        <w:pStyle w:val="SectionBody"/>
        <w:rPr>
          <w:color w:val="auto"/>
        </w:rPr>
      </w:pPr>
      <w:r w:rsidRPr="00D275AE">
        <w:rPr>
          <w:color w:val="auto"/>
        </w:rPr>
        <w:t>(f) Any employee may purchase retroactive service credit for periods of employment in which contributions were not deducted from the employee's pay. In the purchase of service credit for employment prior to 1989 in any department, including the Legislature, which operated from the General Revenue Fund and which was not expressly excluded from budget appropriations in which blanket appropriations were made for the state's share of public employees' retirement coverage in the years prior to 1989, the employee shall pay the employee's share. Other employees shall pay the state's share and the employee's share to purchase retroactive service credit. Where an employee purchases service credit for employment which occurred after 1988, that employee shall pay for the employee's share and the employer shall pay its share for the purchase of retroactive service credit: </w:t>
      </w:r>
      <w:r w:rsidRPr="00D275AE">
        <w:rPr>
          <w:i/>
          <w:iCs/>
          <w:color w:val="auto"/>
        </w:rPr>
        <w:t>Provided,</w:t>
      </w:r>
      <w:r w:rsidRPr="00D275AE">
        <w:rPr>
          <w:color w:val="auto"/>
        </w:rPr>
        <w:t>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D275AE">
        <w:rPr>
          <w:i/>
          <w:iCs/>
          <w:color w:val="auto"/>
        </w:rPr>
        <w:t>Provided, however,</w:t>
      </w:r>
      <w:r w:rsidRPr="00D275AE">
        <w:rPr>
          <w:color w:val="auto"/>
        </w:rPr>
        <w:t xml:space="preserve"> That a current legislative employee purchasing retroactive credit under this section shall do so within 24 months of beginning contributions to the </w:t>
      </w:r>
      <w:r w:rsidRPr="00D275AE">
        <w:rPr>
          <w:color w:val="auto"/>
        </w:rPr>
        <w:lastRenderedPageBreak/>
        <w:t>retirement system as a legislative employee or no later than December 31,  2016, whichever occurs later: </w:t>
      </w:r>
      <w:r w:rsidRPr="00D275AE">
        <w:rPr>
          <w:i/>
          <w:iCs/>
          <w:color w:val="auto"/>
        </w:rPr>
        <w:t>Provided further,</w:t>
      </w:r>
      <w:r w:rsidRPr="00D275AE">
        <w:rPr>
          <w:color w:val="auto"/>
        </w:rPr>
        <w:t> 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worked or 12 months for each 60-day session for legislative employees who have been employed during regular sessions in 13 consecutive calendar years, as certified by the clerk of the house in which the employee served, and credit for interim employment as provided in this subsection:</w:t>
      </w:r>
      <w:r w:rsidRPr="00D275AE">
        <w:rPr>
          <w:i/>
          <w:iCs/>
          <w:color w:val="auto"/>
        </w:rPr>
        <w:t> And provided further,</w:t>
      </w:r>
      <w:r w:rsidRPr="00D275AE">
        <w:rPr>
          <w:color w:val="auto"/>
        </w:rPr>
        <w:t> That this legislative service credit shall also be used for months of service in order to meet the 60-month requirement for the payments of a temporary legislative employee member's retirement annuity: </w:t>
      </w:r>
      <w:r w:rsidRPr="00D275AE">
        <w:rPr>
          <w:i/>
          <w:iCs/>
          <w:color w:val="auto"/>
        </w:rPr>
        <w:t>And provided further,</w:t>
      </w:r>
      <w:r w:rsidRPr="00D275AE">
        <w:rPr>
          <w:color w:val="auto"/>
        </w:rPr>
        <w:t> That no legislative employee may be required to pay for any service credit beyond the actual time he or she worked regardless of the service credit which is credited to him or her pursuant to this section: </w:t>
      </w:r>
      <w:r w:rsidRPr="00D275AE">
        <w:rPr>
          <w:i/>
          <w:iCs/>
          <w:color w:val="auto"/>
        </w:rPr>
        <w:t>And provided further,</w:t>
      </w:r>
      <w:r w:rsidRPr="00D275AE">
        <w:rPr>
          <w:color w:val="auto"/>
        </w:rPr>
        <w:t> That any legislative employee may request a recalculation of his or her credited service to comply with the provisions of this section at any time.</w:t>
      </w:r>
    </w:p>
    <w:p w14:paraId="741A5616" w14:textId="77777777" w:rsidR="007C331B" w:rsidRPr="00D275AE" w:rsidRDefault="007C331B" w:rsidP="007C06D6">
      <w:pPr>
        <w:pStyle w:val="SectionBody"/>
        <w:rPr>
          <w:color w:val="auto"/>
        </w:rPr>
      </w:pPr>
      <w:r w:rsidRPr="00D275AE">
        <w:rPr>
          <w:color w:val="auto"/>
        </w:rPr>
        <w:t>(g) (1) Notwithstanding any provision to the contrary, the seven consecutive calendar years requirement and the 13 consecutive calendar years requirement and the service credit requirements set forth in this section shall be applied retroactively to all periods of legislative employment prior to the passage of this section, including any periods of legislative employment occurring before the seven consecutive and 13 consecutive calendar years referenced in this section: </w:t>
      </w:r>
      <w:r w:rsidRPr="00D275AE">
        <w:rPr>
          <w:i/>
          <w:iCs/>
          <w:color w:val="auto"/>
        </w:rPr>
        <w:t>Provided, </w:t>
      </w:r>
      <w:r w:rsidRPr="00D275AE">
        <w:rPr>
          <w:color w:val="auto"/>
        </w:rPr>
        <w:t>That the employee has not retired prior to the effective date of the amendments made to this section in the 2002 regular session of the Legislature.</w:t>
      </w:r>
    </w:p>
    <w:p w14:paraId="316575BE" w14:textId="77777777" w:rsidR="007C331B" w:rsidRPr="00D275AE" w:rsidRDefault="007C331B" w:rsidP="007C06D6">
      <w:pPr>
        <w:pStyle w:val="SectionBody"/>
        <w:rPr>
          <w:color w:val="auto"/>
        </w:rPr>
      </w:pPr>
      <w:r w:rsidRPr="00D275AE">
        <w:rPr>
          <w:color w:val="auto"/>
        </w:rPr>
        <w:t>(2) The requirement of seven consecutive years and the requirement of 13 consecutive years apply retroactively to all legislative employment prior to the effective date of the 2006 amendments to this section.</w:t>
      </w:r>
    </w:p>
    <w:p w14:paraId="1C62B54B" w14:textId="77777777" w:rsidR="007C331B" w:rsidRPr="00D275AE" w:rsidRDefault="007C331B" w:rsidP="007C06D6">
      <w:pPr>
        <w:pStyle w:val="SectionBody"/>
        <w:rPr>
          <w:color w:val="auto"/>
        </w:rPr>
      </w:pPr>
      <w:r w:rsidRPr="00D275AE">
        <w:rPr>
          <w:color w:val="auto"/>
        </w:rPr>
        <w:t xml:space="preserve">(h) The board of trustees shall grant service credit to any former or present member of the </w:t>
      </w:r>
      <w:r w:rsidRPr="00D275AE">
        <w:rPr>
          <w:color w:val="auto"/>
        </w:rPr>
        <w:lastRenderedPageBreak/>
        <w:t>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 </w:t>
      </w:r>
      <w:r w:rsidRPr="00D275AE">
        <w:rPr>
          <w:i/>
          <w:iCs/>
          <w:color w:val="auto"/>
        </w:rPr>
        <w:t>Provided,</w:t>
      </w:r>
      <w:r w:rsidRPr="00D275AE">
        <w:rPr>
          <w:color w:val="auto"/>
        </w:rPr>
        <w:t> 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3B3C0BE4" w14:textId="77777777" w:rsidR="007F027C" w:rsidRPr="00D275AE" w:rsidRDefault="007C331B" w:rsidP="007C06D6">
      <w:pPr>
        <w:pStyle w:val="SectionBody"/>
        <w:rPr>
          <w:color w:val="auto"/>
        </w:rPr>
        <w:sectPr w:rsidR="007F027C" w:rsidRPr="00D275AE" w:rsidSect="00DF199D">
          <w:type w:val="continuous"/>
          <w:pgSz w:w="12240" w:h="15840" w:code="1"/>
          <w:pgMar w:top="1440" w:right="1440" w:bottom="1440" w:left="1440" w:header="720" w:footer="720" w:gutter="0"/>
          <w:lnNumType w:countBy="1" w:restart="newSection"/>
          <w:cols w:space="720"/>
          <w:titlePg/>
          <w:docGrid w:linePitch="360"/>
        </w:sectPr>
      </w:pPr>
      <w:r w:rsidRPr="00D275AE">
        <w:rPr>
          <w:color w:val="auto"/>
        </w:rPr>
        <w:t>(i) The provisions of §5-10-22h of this code are not applicable to the amendments made to this section during the 2006 regular session.</w:t>
      </w:r>
    </w:p>
    <w:p w14:paraId="0D73332A" w14:textId="77777777" w:rsidR="007F027C" w:rsidRPr="00D275AE" w:rsidRDefault="007C331B" w:rsidP="007C06D6">
      <w:pPr>
        <w:pStyle w:val="SectionHeading"/>
        <w:rPr>
          <w:color w:val="auto"/>
        </w:rPr>
        <w:sectPr w:rsidR="007F027C" w:rsidRPr="00D275AE" w:rsidSect="007F027C">
          <w:type w:val="continuous"/>
          <w:pgSz w:w="12240" w:h="15840" w:code="1"/>
          <w:pgMar w:top="1440" w:right="1440" w:bottom="1440" w:left="1440" w:header="720" w:footer="720" w:gutter="0"/>
          <w:cols w:space="720"/>
          <w:titlePg/>
          <w:docGrid w:linePitch="360"/>
        </w:sectPr>
      </w:pPr>
      <w:r w:rsidRPr="00D275AE">
        <w:rPr>
          <w:color w:val="auto"/>
        </w:rPr>
        <w:t>§</w:t>
      </w:r>
      <w:bookmarkStart w:id="2" w:name="_Hlk79388591"/>
      <w:r w:rsidRPr="00D275AE">
        <w:rPr>
          <w:color w:val="auto"/>
        </w:rPr>
        <w:t>5-10-30. Refund of accumulated contributions.</w:t>
      </w:r>
      <w:bookmarkEnd w:id="2"/>
    </w:p>
    <w:p w14:paraId="53273430" w14:textId="0B829E63" w:rsidR="007C331B" w:rsidRPr="00D275AE" w:rsidRDefault="007C331B" w:rsidP="007C06D6">
      <w:pPr>
        <w:pStyle w:val="SectionBody"/>
        <w:rPr>
          <w:color w:val="auto"/>
        </w:rPr>
      </w:pPr>
      <w:r w:rsidRPr="00D275AE">
        <w:rPr>
          <w:color w:val="auto"/>
        </w:rPr>
        <w:t>(a) In the event a member leaves the employ of a participating public employer prior to the date </w:t>
      </w:r>
      <w:r w:rsidRPr="00D275AE">
        <w:rPr>
          <w:strike/>
          <w:color w:val="auto"/>
        </w:rPr>
        <w:t>he</w:t>
      </w:r>
      <w:r w:rsidRPr="00D275AE">
        <w:rPr>
          <w:color w:val="auto"/>
        </w:rPr>
        <w:t> </w:t>
      </w:r>
      <w:r w:rsidRPr="00D275AE">
        <w:rPr>
          <w:color w:val="auto"/>
          <w:u w:val="single"/>
        </w:rPr>
        <w:t>the member</w:t>
      </w:r>
      <w:r w:rsidRPr="00D275AE">
        <w:rPr>
          <w:color w:val="auto"/>
        </w:rPr>
        <w:t> becomes entitled to retire with an annuity payable by the retirement system, </w:t>
      </w:r>
      <w:r w:rsidRPr="00D275AE">
        <w:rPr>
          <w:strike/>
          <w:color w:val="auto"/>
        </w:rPr>
        <w:t>he</w:t>
      </w:r>
      <w:r w:rsidRPr="00D275AE">
        <w:rPr>
          <w:color w:val="auto"/>
        </w:rPr>
        <w:t> </w:t>
      </w:r>
      <w:r w:rsidRPr="00D275AE">
        <w:rPr>
          <w:color w:val="auto"/>
          <w:u w:val="single"/>
        </w:rPr>
        <w:t>the member</w:t>
      </w:r>
      <w:r w:rsidRPr="00D275AE">
        <w:rPr>
          <w:color w:val="auto"/>
        </w:rPr>
        <w:t> shall be paid, upon </w:t>
      </w:r>
      <w:r w:rsidRPr="00D275AE">
        <w:rPr>
          <w:strike/>
          <w:color w:val="auto"/>
        </w:rPr>
        <w:t>his</w:t>
      </w:r>
      <w:r w:rsidRPr="00D275AE">
        <w:rPr>
          <w:color w:val="auto"/>
        </w:rPr>
        <w:t> </w:t>
      </w:r>
      <w:r w:rsidRPr="00D275AE">
        <w:rPr>
          <w:color w:val="auto"/>
          <w:u w:val="single"/>
        </w:rPr>
        <w:t>the member’s</w:t>
      </w:r>
      <w:r w:rsidRPr="00D275AE">
        <w:rPr>
          <w:color w:val="auto"/>
        </w:rPr>
        <w:t> written application filed with the board of trustees, </w:t>
      </w:r>
      <w:r w:rsidRPr="00D275AE">
        <w:rPr>
          <w:strike/>
          <w:color w:val="auto"/>
        </w:rPr>
        <w:t>his</w:t>
      </w:r>
      <w:r w:rsidRPr="00D275AE">
        <w:rPr>
          <w:color w:val="auto"/>
        </w:rPr>
        <w:t> </w:t>
      </w:r>
      <w:r w:rsidRPr="00D275AE">
        <w:rPr>
          <w:color w:val="auto"/>
          <w:u w:val="single"/>
        </w:rPr>
        <w:t>the member’s</w:t>
      </w:r>
      <w:r w:rsidRPr="00D275AE">
        <w:rPr>
          <w:color w:val="auto"/>
        </w:rPr>
        <w:t> accumulated contributions</w:t>
      </w:r>
      <w:r w:rsidR="00CD1E47" w:rsidRPr="00D275AE">
        <w:rPr>
          <w:color w:val="auto"/>
        </w:rPr>
        <w:t>,</w:t>
      </w:r>
      <w:r w:rsidRPr="00D275AE">
        <w:rPr>
          <w:color w:val="auto"/>
        </w:rPr>
        <w:t> </w:t>
      </w:r>
      <w:r w:rsidRPr="00D275AE">
        <w:rPr>
          <w:strike/>
          <w:color w:val="auto"/>
        </w:rPr>
        <w:t>standing to his credit</w:t>
      </w:r>
      <w:r w:rsidRPr="00D275AE">
        <w:rPr>
          <w:color w:val="auto"/>
        </w:rPr>
        <w:t> </w:t>
      </w:r>
      <w:r w:rsidRPr="00D275AE">
        <w:rPr>
          <w:strike/>
          <w:color w:val="auto"/>
        </w:rPr>
        <w:t>in the members deposit fund</w:t>
      </w:r>
      <w:r w:rsidRPr="00D275AE">
        <w:rPr>
          <w:color w:val="auto"/>
        </w:rPr>
        <w:t xml:space="preserve"> if </w:t>
      </w:r>
      <w:r w:rsidRPr="00D275AE">
        <w:rPr>
          <w:strike/>
          <w:color w:val="auto"/>
        </w:rPr>
        <w:t>his</w:t>
      </w:r>
      <w:r w:rsidRPr="00D275AE">
        <w:rPr>
          <w:color w:val="auto"/>
        </w:rPr>
        <w:t> </w:t>
      </w:r>
      <w:r w:rsidRPr="00D275AE">
        <w:rPr>
          <w:color w:val="auto"/>
          <w:u w:val="single"/>
        </w:rPr>
        <w:t>the member’s</w:t>
      </w:r>
      <w:r w:rsidRPr="00D275AE">
        <w:rPr>
          <w:color w:val="auto"/>
        </w:rPr>
        <w:t> separation from the employ of a participating public employer occurs subsequent to a period of two years </w:t>
      </w:r>
      <w:r w:rsidRPr="00D275AE">
        <w:rPr>
          <w:strike/>
          <w:color w:val="auto"/>
        </w:rPr>
        <w:t>from and after the date he last became a member of the system</w:t>
      </w:r>
      <w:r w:rsidRPr="00D275AE">
        <w:rPr>
          <w:color w:val="auto"/>
        </w:rPr>
        <w:t> </w:t>
      </w:r>
      <w:r w:rsidRPr="00D275AE">
        <w:rPr>
          <w:color w:val="auto"/>
          <w:u w:val="single"/>
        </w:rPr>
        <w:t>of contributing service.</w:t>
      </w:r>
      <w:r w:rsidRPr="00D275AE">
        <w:rPr>
          <w:color w:val="auto"/>
        </w:rPr>
        <w:t> If </w:t>
      </w:r>
      <w:r w:rsidRPr="00D275AE">
        <w:rPr>
          <w:strike/>
          <w:color w:val="auto"/>
        </w:rPr>
        <w:t>his</w:t>
      </w:r>
      <w:r w:rsidRPr="00D275AE">
        <w:rPr>
          <w:color w:val="auto"/>
        </w:rPr>
        <w:t> </w:t>
      </w:r>
      <w:r w:rsidRPr="00D275AE">
        <w:rPr>
          <w:color w:val="auto"/>
          <w:u w:val="single"/>
        </w:rPr>
        <w:t>the member’s</w:t>
      </w:r>
      <w:r w:rsidRPr="00D275AE">
        <w:rPr>
          <w:color w:val="auto"/>
        </w:rPr>
        <w:t> said separation from the employ of a participating public employer occurs </w:t>
      </w:r>
      <w:r w:rsidRPr="00D275AE">
        <w:rPr>
          <w:strike/>
          <w:color w:val="auto"/>
        </w:rPr>
        <w:t>within a period of</w:t>
      </w:r>
      <w:r w:rsidRPr="00D275AE">
        <w:rPr>
          <w:color w:val="auto"/>
        </w:rPr>
        <w:t> </w:t>
      </w:r>
      <w:r w:rsidRPr="00D275AE">
        <w:rPr>
          <w:color w:val="auto"/>
          <w:u w:val="single"/>
        </w:rPr>
        <w:t>prior to</w:t>
      </w:r>
      <w:r w:rsidRPr="00D275AE">
        <w:rPr>
          <w:color w:val="auto"/>
        </w:rPr>
        <w:t> two years </w:t>
      </w:r>
      <w:r w:rsidRPr="00D275AE">
        <w:rPr>
          <w:strike/>
          <w:color w:val="auto"/>
        </w:rPr>
        <w:t>from and after the date he last became a member of the system</w:t>
      </w:r>
      <w:r w:rsidRPr="00D275AE">
        <w:rPr>
          <w:color w:val="auto"/>
        </w:rPr>
        <w:t> </w:t>
      </w:r>
      <w:r w:rsidRPr="00D275AE">
        <w:rPr>
          <w:color w:val="auto"/>
          <w:u w:val="single"/>
        </w:rPr>
        <w:t>of contributing service,</w:t>
      </w:r>
      <w:r w:rsidRPr="00D275AE">
        <w:rPr>
          <w:color w:val="auto"/>
        </w:rPr>
        <w:t> </w:t>
      </w:r>
      <w:r w:rsidRPr="00D275AE">
        <w:rPr>
          <w:strike/>
          <w:color w:val="auto"/>
        </w:rPr>
        <w:t>he</w:t>
      </w:r>
      <w:r w:rsidRPr="00D275AE">
        <w:rPr>
          <w:color w:val="auto"/>
        </w:rPr>
        <w:t> </w:t>
      </w:r>
      <w:r w:rsidRPr="00D275AE">
        <w:rPr>
          <w:color w:val="auto"/>
          <w:u w:val="single"/>
        </w:rPr>
        <w:t>the member</w:t>
      </w:r>
      <w:r w:rsidRPr="00D275AE">
        <w:rPr>
          <w:color w:val="auto"/>
        </w:rPr>
        <w:t> shall be paid </w:t>
      </w:r>
      <w:r w:rsidRPr="00D275AE">
        <w:rPr>
          <w:strike/>
          <w:color w:val="auto"/>
        </w:rPr>
        <w:t>his</w:t>
      </w:r>
      <w:r w:rsidRPr="00D275AE">
        <w:rPr>
          <w:color w:val="auto"/>
        </w:rPr>
        <w:t> </w:t>
      </w:r>
      <w:r w:rsidRPr="00D275AE">
        <w:rPr>
          <w:color w:val="auto"/>
          <w:u w:val="single"/>
        </w:rPr>
        <w:t>the member’s</w:t>
      </w:r>
      <w:r w:rsidRPr="00D275AE">
        <w:rPr>
          <w:color w:val="auto"/>
        </w:rPr>
        <w:t> accumulated contributions </w:t>
      </w:r>
      <w:r w:rsidRPr="00D275AE">
        <w:rPr>
          <w:strike/>
          <w:color w:val="auto"/>
        </w:rPr>
        <w:t>standing to his credit</w:t>
      </w:r>
      <w:r w:rsidRPr="00D275AE">
        <w:rPr>
          <w:color w:val="auto"/>
        </w:rPr>
        <w:t> </w:t>
      </w:r>
      <w:r w:rsidRPr="00D275AE">
        <w:rPr>
          <w:strike/>
          <w:color w:val="auto"/>
        </w:rPr>
        <w:t>in the members deposit fund</w:t>
      </w:r>
      <w:r w:rsidRPr="00D275AE">
        <w:rPr>
          <w:color w:val="auto"/>
        </w:rPr>
        <w:t> less the total </w:t>
      </w:r>
      <w:r w:rsidRPr="00D275AE">
        <w:rPr>
          <w:color w:val="auto"/>
          <w:u w:val="single"/>
        </w:rPr>
        <w:t>regular</w:t>
      </w:r>
      <w:r w:rsidRPr="00D275AE">
        <w:rPr>
          <w:color w:val="auto"/>
        </w:rPr>
        <w:t> interest credited to </w:t>
      </w:r>
      <w:r w:rsidRPr="00D275AE">
        <w:rPr>
          <w:strike/>
          <w:color w:val="auto"/>
        </w:rPr>
        <w:t>his</w:t>
      </w:r>
      <w:r w:rsidRPr="00D275AE">
        <w:rPr>
          <w:color w:val="auto"/>
        </w:rPr>
        <w:t> </w:t>
      </w:r>
      <w:r w:rsidRPr="00D275AE">
        <w:rPr>
          <w:color w:val="auto"/>
          <w:u w:val="single"/>
        </w:rPr>
        <w:t>the member’s</w:t>
      </w:r>
      <w:r w:rsidRPr="00D275AE">
        <w:rPr>
          <w:color w:val="auto"/>
        </w:rPr>
        <w:t> individual account</w:t>
      </w:r>
      <w:r w:rsidR="00CD1E47" w:rsidRPr="00D275AE">
        <w:rPr>
          <w:color w:val="auto"/>
        </w:rPr>
        <w:t>.</w:t>
      </w:r>
      <w:r w:rsidRPr="00D275AE">
        <w:rPr>
          <w:color w:val="auto"/>
        </w:rPr>
        <w:t> </w:t>
      </w:r>
      <w:r w:rsidRPr="00D275AE">
        <w:rPr>
          <w:strike/>
          <w:color w:val="auto"/>
        </w:rPr>
        <w:t>therein; and the said total interest credit shall be transferred to the income fund</w:t>
      </w:r>
    </w:p>
    <w:p w14:paraId="2209F293" w14:textId="77777777" w:rsidR="007C331B" w:rsidRPr="00D275AE" w:rsidRDefault="007C331B" w:rsidP="007C06D6">
      <w:pPr>
        <w:pStyle w:val="SectionBody"/>
        <w:rPr>
          <w:color w:val="auto"/>
        </w:rPr>
      </w:pPr>
      <w:r w:rsidRPr="00D275AE">
        <w:rPr>
          <w:color w:val="auto"/>
        </w:rPr>
        <w:lastRenderedPageBreak/>
        <w:t>(b) In the event a member dies and does not leave a beneficiary entitled to an annuity payable by the retirement system, </w:t>
      </w:r>
      <w:r w:rsidRPr="00D275AE">
        <w:rPr>
          <w:strike/>
          <w:color w:val="auto"/>
        </w:rPr>
        <w:t>his</w:t>
      </w:r>
      <w:r w:rsidRPr="00D275AE">
        <w:rPr>
          <w:color w:val="auto"/>
        </w:rPr>
        <w:t> </w:t>
      </w:r>
      <w:r w:rsidRPr="00D275AE">
        <w:rPr>
          <w:color w:val="auto"/>
          <w:u w:val="single"/>
        </w:rPr>
        <w:t>the member’s</w:t>
      </w:r>
      <w:r w:rsidRPr="00D275AE">
        <w:rPr>
          <w:color w:val="auto"/>
        </w:rPr>
        <w:t> accumulated contributions </w:t>
      </w:r>
      <w:r w:rsidRPr="00D275AE">
        <w:rPr>
          <w:strike/>
          <w:color w:val="auto"/>
        </w:rPr>
        <w:t>standing to his credit in the members deposit fund</w:t>
      </w:r>
      <w:r w:rsidRPr="00D275AE">
        <w:rPr>
          <w:color w:val="auto"/>
        </w:rPr>
        <w:t> at the time of </w:t>
      </w:r>
      <w:r w:rsidRPr="00D275AE">
        <w:rPr>
          <w:strike/>
          <w:color w:val="auto"/>
        </w:rPr>
        <w:t>his</w:t>
      </w:r>
      <w:r w:rsidRPr="00D275AE">
        <w:rPr>
          <w:color w:val="auto"/>
        </w:rPr>
        <w:t> </w:t>
      </w:r>
      <w:r w:rsidRPr="00D275AE">
        <w:rPr>
          <w:color w:val="auto"/>
          <w:u w:val="single"/>
        </w:rPr>
        <w:t>the member’s</w:t>
      </w:r>
      <w:r w:rsidRPr="00D275AE">
        <w:rPr>
          <w:color w:val="auto"/>
        </w:rPr>
        <w:t> death shall be paid to such person or persons as he </w:t>
      </w:r>
      <w:r w:rsidRPr="00D275AE">
        <w:rPr>
          <w:color w:val="auto"/>
          <w:u w:val="single"/>
        </w:rPr>
        <w:t>or she</w:t>
      </w:r>
      <w:r w:rsidRPr="00D275AE">
        <w:rPr>
          <w:color w:val="auto"/>
        </w:rPr>
        <w:t> shall have nominated by written designation duly executed and filed with the board of trustees. If there be no such designated person or persons surviving the said member, </w:t>
      </w:r>
      <w:r w:rsidRPr="00D275AE">
        <w:rPr>
          <w:strike/>
          <w:color w:val="auto"/>
        </w:rPr>
        <w:t>his</w:t>
      </w:r>
      <w:r w:rsidRPr="00D275AE">
        <w:rPr>
          <w:color w:val="auto"/>
        </w:rPr>
        <w:t> </w:t>
      </w:r>
      <w:r w:rsidRPr="00D275AE">
        <w:rPr>
          <w:color w:val="auto"/>
          <w:u w:val="single"/>
        </w:rPr>
        <w:t>the member’s</w:t>
      </w:r>
      <w:r w:rsidRPr="00D275AE">
        <w:rPr>
          <w:color w:val="auto"/>
        </w:rPr>
        <w:t> said accumulated contributions shall be paid to </w:t>
      </w:r>
      <w:r w:rsidRPr="00D275AE">
        <w:rPr>
          <w:strike/>
          <w:color w:val="auto"/>
        </w:rPr>
        <w:t>his</w:t>
      </w:r>
      <w:r w:rsidRPr="00D275AE">
        <w:rPr>
          <w:color w:val="auto"/>
        </w:rPr>
        <w:t> </w:t>
      </w:r>
      <w:r w:rsidRPr="00D275AE">
        <w:rPr>
          <w:color w:val="auto"/>
          <w:u w:val="single"/>
        </w:rPr>
        <w:t>the member’s</w:t>
      </w:r>
      <w:r w:rsidRPr="00D275AE">
        <w:rPr>
          <w:color w:val="auto"/>
        </w:rPr>
        <w:t> estate.</w:t>
      </w:r>
    </w:p>
    <w:p w14:paraId="72ABC2C6" w14:textId="0900560E" w:rsidR="007C331B" w:rsidRPr="00D275AE" w:rsidRDefault="007C331B" w:rsidP="007C06D6">
      <w:pPr>
        <w:pStyle w:val="SectionBody"/>
        <w:rPr>
          <w:strike/>
          <w:color w:val="auto"/>
        </w:rPr>
      </w:pPr>
      <w:r w:rsidRPr="00D275AE">
        <w:rPr>
          <w:strike/>
          <w:color w:val="auto"/>
        </w:rPr>
        <w:t>(c) Refunds of a member's contributions or accumulated contributions, as the case may be, may be made in equal installments according to such rules and regulations as the board of trustees may from time to time adopt</w:t>
      </w:r>
    </w:p>
    <w:p w14:paraId="425C09CF" w14:textId="77777777" w:rsidR="007C331B" w:rsidRPr="00D275AE" w:rsidRDefault="007C331B" w:rsidP="007C06D6">
      <w:pPr>
        <w:pStyle w:val="SectionBody"/>
        <w:rPr>
          <w:color w:val="auto"/>
        </w:rPr>
      </w:pPr>
      <w:r w:rsidRPr="00D275AE">
        <w:rPr>
          <w:strike/>
          <w:color w:val="auto"/>
        </w:rPr>
        <w:t>(d)</w:t>
      </w:r>
      <w:r w:rsidRPr="00D275AE">
        <w:rPr>
          <w:color w:val="auto"/>
          <w:u w:val="single"/>
        </w:rPr>
        <w:t>(c)</w:t>
      </w:r>
      <w:r w:rsidRPr="00D275AE">
        <w:rPr>
          <w:color w:val="auto"/>
        </w:rPr>
        <w:t> In the event a member dies and a refund of </w:t>
      </w:r>
      <w:r w:rsidRPr="00D275AE">
        <w:rPr>
          <w:strike/>
          <w:color w:val="auto"/>
        </w:rPr>
        <w:t>his</w:t>
      </w:r>
      <w:r w:rsidRPr="00D275AE">
        <w:rPr>
          <w:color w:val="auto"/>
        </w:rPr>
        <w:t> </w:t>
      </w:r>
      <w:r w:rsidRPr="00D275AE">
        <w:rPr>
          <w:color w:val="auto"/>
          <w:u w:val="single"/>
        </w:rPr>
        <w:t>the member’s</w:t>
      </w:r>
      <w:r w:rsidRPr="00D275AE">
        <w:rPr>
          <w:color w:val="auto"/>
        </w:rPr>
        <w:t> contributions is due to be made to an infant child or children by reason of being the person or persons nominated by written designation duly executed and filed with the retirement system, and the amount of said refund is less than $1,000, then, and in said event, the board of trustees may make said refund, upon written application, to the closest relative or natural guardian for the use of said infant child or children. The board of trustees may, at its discretion, require that said relative or natural guardian post bond with the retirement system to insure that said money will be used for the benefit of said infant child or children. In any event, before said refund is made to said relative or natural guardian of the said infant or infants, said relative or natural guardian shall give the retirement system an indemnifying release of said sums so paid over.</w:t>
      </w:r>
    </w:p>
    <w:p w14:paraId="41BE1CC5" w14:textId="5DE3ADFE" w:rsidR="007C331B" w:rsidRPr="00D275AE" w:rsidRDefault="007C331B" w:rsidP="007C06D6">
      <w:pPr>
        <w:pStyle w:val="SectionBody"/>
        <w:rPr>
          <w:rFonts w:ascii="Calibri" w:hAnsi="Calibri" w:cs="Calibri"/>
          <w:color w:val="auto"/>
          <w:u w:val="single"/>
        </w:rPr>
      </w:pPr>
      <w:r w:rsidRPr="00D275AE">
        <w:rPr>
          <w:color w:val="auto"/>
          <w:u w:val="single"/>
        </w:rPr>
        <w:t>(d) In the event a member leaves the employ of a participating public employer and is entitled to retire with an annuity payable by the retirement system, but will be subject to an annuity reduction at any time due to the 105 percent provision contained in §5-10-17(b) of this code, the member may be paid, upon the member’s written application filed with the board of trustees, their accumulated contributions.</w:t>
      </w:r>
    </w:p>
    <w:p w14:paraId="35628783" w14:textId="77777777" w:rsidR="007C331B" w:rsidRPr="00D275AE" w:rsidRDefault="007C331B" w:rsidP="007C331B">
      <w:pPr>
        <w:pStyle w:val="Note"/>
        <w:rPr>
          <w:color w:val="auto"/>
        </w:rPr>
      </w:pPr>
    </w:p>
    <w:p w14:paraId="4C88C01B" w14:textId="0BE7C3DD" w:rsidR="008D7E8F" w:rsidRPr="00D275AE" w:rsidRDefault="008D7E8F" w:rsidP="008D7E8F">
      <w:pPr>
        <w:pStyle w:val="Note"/>
        <w:rPr>
          <w:color w:val="auto"/>
        </w:rPr>
      </w:pPr>
      <w:r w:rsidRPr="00D275AE">
        <w:rPr>
          <w:color w:val="auto"/>
        </w:rPr>
        <w:lastRenderedPageBreak/>
        <w:t xml:space="preserve">NOTE: The purpose of this bill is </w:t>
      </w:r>
      <w:r w:rsidRPr="00D275AE">
        <w:rPr>
          <w:rFonts w:cs="Arial"/>
          <w:color w:val="auto"/>
        </w:rPr>
        <w:t>to modify service credit, retroactive provisions, and the refund of accumulated contributions for certain members of the West Virginia Public Employees Retirement System.</w:t>
      </w:r>
    </w:p>
    <w:p w14:paraId="4B584434" w14:textId="3E05381F" w:rsidR="0031525A" w:rsidRPr="00D275AE" w:rsidRDefault="008D7E8F" w:rsidP="008D7E8F">
      <w:pPr>
        <w:pStyle w:val="Note"/>
        <w:rPr>
          <w:color w:val="auto"/>
        </w:rPr>
      </w:pPr>
      <w:r w:rsidRPr="00D275AE">
        <w:rPr>
          <w:color w:val="auto"/>
        </w:rPr>
        <w:t>Strike-throughs indicate language that would be stricken from a heading or the present law and underscoring indicates new language that would be added.</w:t>
      </w:r>
    </w:p>
    <w:sectPr w:rsidR="0031525A" w:rsidRPr="00D275A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897D" w14:textId="77777777" w:rsidR="00E6104D" w:rsidRDefault="00E6104D" w:rsidP="007C331B">
      <w:pPr>
        <w:spacing w:line="240" w:lineRule="auto"/>
      </w:pPr>
      <w:r>
        <w:separator/>
      </w:r>
    </w:p>
  </w:endnote>
  <w:endnote w:type="continuationSeparator" w:id="0">
    <w:p w14:paraId="0F798DFE" w14:textId="77777777" w:rsidR="00E6104D" w:rsidRDefault="00E6104D" w:rsidP="007C3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8AFD3E" w14:textId="77777777" w:rsidR="002A0269" w:rsidRPr="00B844FE" w:rsidRDefault="00E610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21FED4" w14:textId="77777777" w:rsidR="002A0269" w:rsidRDefault="003A200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75751B" w14:textId="77777777" w:rsidR="002A0269" w:rsidRDefault="00E6104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835C" w14:textId="77777777" w:rsidR="00E6104D" w:rsidRDefault="00E6104D" w:rsidP="007C331B">
      <w:pPr>
        <w:spacing w:line="240" w:lineRule="auto"/>
      </w:pPr>
      <w:r>
        <w:separator/>
      </w:r>
    </w:p>
  </w:footnote>
  <w:footnote w:type="continuationSeparator" w:id="0">
    <w:p w14:paraId="67230AFB" w14:textId="77777777" w:rsidR="00E6104D" w:rsidRDefault="00E6104D" w:rsidP="007C3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6D2E" w14:textId="77777777" w:rsidR="002A0269" w:rsidRPr="00B844FE" w:rsidRDefault="003A200B">
    <w:pPr>
      <w:pStyle w:val="Header"/>
    </w:pPr>
    <w:sdt>
      <w:sdtPr>
        <w:id w:val="-684364211"/>
        <w:placeholder>
          <w:docPart w:val="C7097064FBD64D41B3E3A43AACF08980"/>
        </w:placeholder>
        <w:temporary/>
        <w:showingPlcHdr/>
        <w15:appearance w15:val="hidden"/>
      </w:sdtPr>
      <w:sdtEndPr/>
      <w:sdtContent>
        <w:r w:rsidR="00E6104D" w:rsidRPr="00B844FE">
          <w:t>[Type here]</w:t>
        </w:r>
      </w:sdtContent>
    </w:sdt>
    <w:r w:rsidR="00E6104D" w:rsidRPr="00B844FE">
      <w:ptab w:relativeTo="margin" w:alignment="left" w:leader="none"/>
    </w:r>
    <w:sdt>
      <w:sdtPr>
        <w:id w:val="-556240388"/>
        <w:placeholder>
          <w:docPart w:val="C7097064FBD64D41B3E3A43AACF08980"/>
        </w:placeholder>
        <w:temporary/>
        <w:showingPlcHdr/>
        <w15:appearance w15:val="hidden"/>
      </w:sdtPr>
      <w:sdtEndPr/>
      <w:sdtContent>
        <w:r w:rsidR="00E610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EA16" w14:textId="67F8FADB" w:rsidR="00C33014" w:rsidRPr="00C33014" w:rsidRDefault="008D7E8F" w:rsidP="000573A9">
    <w:pPr>
      <w:pStyle w:val="HeaderStyle"/>
    </w:pPr>
    <w:r>
      <w:t>Intr</w:t>
    </w:r>
    <w:r w:rsidR="003C6DA4">
      <w:t xml:space="preserve"> </w:t>
    </w:r>
    <w:r w:rsidR="006055DE">
      <w:t>S</w:t>
    </w:r>
    <w:r>
      <w:t>B</w:t>
    </w:r>
    <w:r w:rsidR="003C6DA4">
      <w:t xml:space="preserve"> 2003</w:t>
    </w:r>
    <w:r w:rsidR="00E6104D" w:rsidRPr="002A0269">
      <w:ptab w:relativeTo="margin" w:alignment="center" w:leader="none"/>
    </w:r>
    <w:r w:rsidR="00E6104D">
      <w:tab/>
    </w:r>
    <w:sdt>
      <w:sdtPr>
        <w:alias w:val="CBD Number"/>
        <w:tag w:val="CBD Number"/>
        <w:id w:val="1176923086"/>
        <w:text/>
      </w:sdtPr>
      <w:sdtEndPr/>
      <w:sdtContent>
        <w:r w:rsidR="006055DE">
          <w:t>202225001S 202225002H</w:t>
        </w:r>
      </w:sdtContent>
    </w:sdt>
  </w:p>
  <w:p w14:paraId="6433376A" w14:textId="77777777" w:rsidR="00E831B3" w:rsidRPr="00C33014" w:rsidRDefault="003A200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6D0A" w14:textId="45178B40" w:rsidR="002A0269" w:rsidRPr="002A0269" w:rsidRDefault="003A200B" w:rsidP="00CC1F3B">
    <w:pPr>
      <w:pStyle w:val="HeaderStyle"/>
    </w:pPr>
    <w:sdt>
      <w:sdtPr>
        <w:tag w:val="BNumWH"/>
        <w:id w:val="-1890952866"/>
        <w:showingPlcHdr/>
        <w:text/>
      </w:sdtPr>
      <w:sdtEndPr/>
      <w:sdtContent/>
    </w:sdt>
    <w:r w:rsidR="00E6104D">
      <w:t xml:space="preserve"> </w:t>
    </w:r>
    <w:r w:rsidR="00E6104D" w:rsidRPr="002A0269">
      <w:ptab w:relativeTo="margin" w:alignment="center" w:leader="none"/>
    </w:r>
    <w:r w:rsidR="00E610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1B"/>
    <w:rsid w:val="0031525A"/>
    <w:rsid w:val="003A200B"/>
    <w:rsid w:val="003C6DA4"/>
    <w:rsid w:val="005120CC"/>
    <w:rsid w:val="006055DE"/>
    <w:rsid w:val="00703420"/>
    <w:rsid w:val="007C06D6"/>
    <w:rsid w:val="007C331B"/>
    <w:rsid w:val="007F027C"/>
    <w:rsid w:val="008D7E8F"/>
    <w:rsid w:val="00C407B0"/>
    <w:rsid w:val="00CD1E47"/>
    <w:rsid w:val="00D275AE"/>
    <w:rsid w:val="00E6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61C5"/>
  <w15:chartTrackingRefBased/>
  <w15:docId w15:val="{13B24A17-BA2B-49D1-908C-B6F3488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C06D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C06D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C06D6"/>
    <w:rPr>
      <w:rFonts w:ascii="Arial" w:hAnsi="Arial"/>
      <w:color w:val="000000" w:themeColor="text1"/>
    </w:rPr>
  </w:style>
  <w:style w:type="paragraph" w:styleId="Footer">
    <w:name w:val="footer"/>
    <w:basedOn w:val="Normal"/>
    <w:link w:val="FooterChar"/>
    <w:uiPriority w:val="99"/>
    <w:rsid w:val="007C06D6"/>
    <w:pPr>
      <w:tabs>
        <w:tab w:val="center" w:pos="4680"/>
        <w:tab w:val="right" w:pos="9360"/>
      </w:tabs>
      <w:spacing w:line="240" w:lineRule="auto"/>
    </w:pPr>
  </w:style>
  <w:style w:type="character" w:customStyle="1" w:styleId="FooterChar">
    <w:name w:val="Footer Char"/>
    <w:basedOn w:val="DefaultParagraphFont"/>
    <w:link w:val="Footer"/>
    <w:uiPriority w:val="99"/>
    <w:rsid w:val="007C06D6"/>
    <w:rPr>
      <w:rFonts w:ascii="Arial" w:hAnsi="Arial"/>
      <w:color w:val="000000" w:themeColor="text1"/>
    </w:rPr>
  </w:style>
  <w:style w:type="character" w:styleId="PlaceholderText">
    <w:name w:val="Placeholder Text"/>
    <w:basedOn w:val="DefaultParagraphFont"/>
    <w:uiPriority w:val="99"/>
    <w:semiHidden/>
    <w:rsid w:val="007C06D6"/>
    <w:rPr>
      <w:color w:val="808080"/>
    </w:rPr>
  </w:style>
  <w:style w:type="paragraph" w:customStyle="1" w:styleId="BillNumber">
    <w:name w:val="Bill Number"/>
    <w:basedOn w:val="BillNumberOld"/>
    <w:qFormat/>
    <w:rsid w:val="007C06D6"/>
  </w:style>
  <w:style w:type="paragraph" w:customStyle="1" w:styleId="EnactingClause">
    <w:name w:val="Enacting Clause"/>
    <w:basedOn w:val="EnactingClauseOld"/>
    <w:qFormat/>
    <w:rsid w:val="007C06D6"/>
  </w:style>
  <w:style w:type="paragraph" w:customStyle="1" w:styleId="HeaderStyle">
    <w:name w:val="Header Style"/>
    <w:basedOn w:val="HeaderStyleOld"/>
    <w:qFormat/>
    <w:rsid w:val="007C06D6"/>
  </w:style>
  <w:style w:type="paragraph" w:customStyle="1" w:styleId="Note">
    <w:name w:val="Note"/>
    <w:basedOn w:val="NoteOld"/>
    <w:qFormat/>
    <w:rsid w:val="007C06D6"/>
  </w:style>
  <w:style w:type="paragraph" w:customStyle="1" w:styleId="References">
    <w:name w:val="References"/>
    <w:basedOn w:val="ReferencesOld"/>
    <w:qFormat/>
    <w:rsid w:val="007C06D6"/>
  </w:style>
  <w:style w:type="paragraph" w:customStyle="1" w:styleId="Sponsors">
    <w:name w:val="Sponsors"/>
    <w:basedOn w:val="SponsorsOld"/>
    <w:qFormat/>
    <w:rsid w:val="007C06D6"/>
  </w:style>
  <w:style w:type="paragraph" w:customStyle="1" w:styleId="TitlePageBillPrefix">
    <w:name w:val="Title Page: Bill Prefix"/>
    <w:basedOn w:val="TitlePageBillPrefixOld"/>
    <w:qFormat/>
    <w:rsid w:val="007C06D6"/>
  </w:style>
  <w:style w:type="paragraph" w:customStyle="1" w:styleId="TitlePageOrigin">
    <w:name w:val="Title Page: Origin"/>
    <w:basedOn w:val="TitlePageOriginOld"/>
    <w:qFormat/>
    <w:rsid w:val="007C06D6"/>
  </w:style>
  <w:style w:type="paragraph" w:customStyle="1" w:styleId="TitlePageSession">
    <w:name w:val="Title Page: Session"/>
    <w:basedOn w:val="TitlePageSessionOld"/>
    <w:qFormat/>
    <w:rsid w:val="007C06D6"/>
  </w:style>
  <w:style w:type="paragraph" w:customStyle="1" w:styleId="TitleSection">
    <w:name w:val="Title Section"/>
    <w:basedOn w:val="TitleSectionOld"/>
    <w:qFormat/>
    <w:rsid w:val="007C06D6"/>
  </w:style>
  <w:style w:type="character" w:styleId="Hyperlink">
    <w:name w:val="Hyperlink"/>
    <w:basedOn w:val="DefaultParagraphFont"/>
    <w:uiPriority w:val="99"/>
    <w:semiHidden/>
    <w:unhideWhenUsed/>
    <w:rsid w:val="007C331B"/>
    <w:rPr>
      <w:color w:val="0000FF"/>
      <w:u w:val="single"/>
    </w:rPr>
  </w:style>
  <w:style w:type="character" w:styleId="LineNumber">
    <w:name w:val="line number"/>
    <w:basedOn w:val="DefaultParagraphFont"/>
    <w:uiPriority w:val="99"/>
    <w:semiHidden/>
    <w:rsid w:val="007C06D6"/>
  </w:style>
  <w:style w:type="paragraph" w:styleId="NoSpacing">
    <w:name w:val="No Spacing"/>
    <w:link w:val="NoSpacingChar"/>
    <w:uiPriority w:val="1"/>
    <w:rsid w:val="007C06D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C06D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C06D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C06D6"/>
    <w:rPr>
      <w:rFonts w:ascii="Arial" w:eastAsia="Calibri" w:hAnsi="Arial"/>
      <w:b/>
      <w:color w:val="000000"/>
    </w:rPr>
  </w:style>
  <w:style w:type="paragraph" w:customStyle="1" w:styleId="ChapterHeadingOld">
    <w:name w:val="Chapter Heading Old"/>
    <w:next w:val="ArticleHeadingOld"/>
    <w:link w:val="ChapterHeadingOldChar"/>
    <w:rsid w:val="007C06D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C06D6"/>
    <w:rPr>
      <w:rFonts w:ascii="Arial" w:eastAsia="Calibri" w:hAnsi="Arial"/>
      <w:b/>
      <w:caps/>
      <w:color w:val="000000"/>
      <w:sz w:val="24"/>
    </w:rPr>
  </w:style>
  <w:style w:type="paragraph" w:customStyle="1" w:styleId="BillNumberOld">
    <w:name w:val="Bill Number Old"/>
    <w:next w:val="SponsorsOld"/>
    <w:link w:val="BillNumberOldChar"/>
    <w:autoRedefine/>
    <w:rsid w:val="007C06D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C06D6"/>
    <w:rPr>
      <w:rFonts w:ascii="Arial" w:eastAsia="Calibri" w:hAnsi="Arial"/>
      <w:b/>
      <w:caps/>
      <w:color w:val="000000"/>
      <w:sz w:val="28"/>
    </w:rPr>
  </w:style>
  <w:style w:type="paragraph" w:customStyle="1" w:styleId="SponsorsOld">
    <w:name w:val="Sponsors Old"/>
    <w:next w:val="ReferencesOld"/>
    <w:link w:val="SponsorsOldChar"/>
    <w:autoRedefine/>
    <w:rsid w:val="007C06D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C06D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C06D6"/>
    <w:rPr>
      <w:i/>
      <w:iCs/>
      <w:color w:val="404040" w:themeColor="text1" w:themeTint="BF"/>
    </w:rPr>
  </w:style>
  <w:style w:type="paragraph" w:customStyle="1" w:styleId="NoteOld">
    <w:name w:val="Note Old"/>
    <w:basedOn w:val="NoSpacing"/>
    <w:link w:val="NoteOldChar"/>
    <w:autoRedefine/>
    <w:rsid w:val="007C06D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C06D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C06D6"/>
    <w:rPr>
      <w:rFonts w:ascii="Arial" w:hAnsi="Arial"/>
      <w:color w:val="000000" w:themeColor="text1"/>
    </w:rPr>
  </w:style>
  <w:style w:type="character" w:customStyle="1" w:styleId="NoteOldChar">
    <w:name w:val="Note Old Char"/>
    <w:link w:val="NoteOld"/>
    <w:rsid w:val="007C06D6"/>
    <w:rPr>
      <w:rFonts w:ascii="Arial" w:eastAsia="Calibri" w:hAnsi="Arial"/>
      <w:color w:val="000000"/>
      <w:sz w:val="20"/>
    </w:rPr>
  </w:style>
  <w:style w:type="paragraph" w:customStyle="1" w:styleId="TitleSectionOld">
    <w:name w:val="Title Section Old"/>
    <w:next w:val="EnactingClauseOld"/>
    <w:link w:val="TitleSectionOldChar"/>
    <w:autoRedefine/>
    <w:rsid w:val="007C06D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C06D6"/>
    <w:rPr>
      <w:rFonts w:ascii="Arial" w:eastAsia="Calibri" w:hAnsi="Arial"/>
      <w:color w:val="000000"/>
    </w:rPr>
  </w:style>
  <w:style w:type="paragraph" w:customStyle="1" w:styleId="EnactingSectionOld">
    <w:name w:val="Enacting Section Old"/>
    <w:link w:val="EnactingSectionOldChar"/>
    <w:autoRedefine/>
    <w:rsid w:val="007C06D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C06D6"/>
    <w:rPr>
      <w:rFonts w:ascii="Arial" w:eastAsia="Calibri" w:hAnsi="Arial"/>
      <w:color w:val="000000"/>
    </w:rPr>
  </w:style>
  <w:style w:type="paragraph" w:customStyle="1" w:styleId="PartHeadingOld">
    <w:name w:val="Part Heading Old"/>
    <w:next w:val="SectionHeadingOld"/>
    <w:link w:val="PartHeadingOldChar"/>
    <w:rsid w:val="007C06D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C06D6"/>
    <w:rPr>
      <w:rFonts w:ascii="Arial" w:eastAsia="Calibri" w:hAnsi="Arial"/>
      <w:color w:val="000000"/>
    </w:rPr>
  </w:style>
  <w:style w:type="paragraph" w:styleId="ListParagraph">
    <w:name w:val="List Paragraph"/>
    <w:basedOn w:val="Normal"/>
    <w:uiPriority w:val="34"/>
    <w:rsid w:val="007C06D6"/>
    <w:pPr>
      <w:ind w:left="720"/>
      <w:contextualSpacing/>
    </w:pPr>
  </w:style>
  <w:style w:type="character" w:customStyle="1" w:styleId="PartHeadingOldChar">
    <w:name w:val="Part Heading Old Char"/>
    <w:link w:val="PartHeadingOld"/>
    <w:rsid w:val="007C06D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C06D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C06D6"/>
    <w:rPr>
      <w:rFonts w:ascii="Arial" w:eastAsia="Calibri" w:hAnsi="Arial"/>
      <w:color w:val="000000"/>
      <w:sz w:val="24"/>
    </w:rPr>
  </w:style>
  <w:style w:type="paragraph" w:customStyle="1" w:styleId="EnactingClauseOld">
    <w:name w:val="Enacting Clause Old"/>
    <w:next w:val="EnactingSectionOld"/>
    <w:link w:val="EnactingClauseOldChar"/>
    <w:autoRedefine/>
    <w:rsid w:val="007C06D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C06D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C06D6"/>
    <w:rPr>
      <w:rFonts w:ascii="Arial" w:eastAsia="Calibri" w:hAnsi="Arial"/>
      <w:i/>
      <w:color w:val="000000"/>
    </w:rPr>
  </w:style>
  <w:style w:type="paragraph" w:styleId="Salutation">
    <w:name w:val="Salutation"/>
    <w:basedOn w:val="Normal"/>
    <w:next w:val="Normal"/>
    <w:link w:val="SalutationChar"/>
    <w:uiPriority w:val="99"/>
    <w:semiHidden/>
    <w:rsid w:val="007C06D6"/>
  </w:style>
  <w:style w:type="character" w:customStyle="1" w:styleId="SalutationChar">
    <w:name w:val="Salutation Char"/>
    <w:basedOn w:val="DefaultParagraphFont"/>
    <w:link w:val="Salutation"/>
    <w:uiPriority w:val="99"/>
    <w:semiHidden/>
    <w:rsid w:val="007C06D6"/>
    <w:rPr>
      <w:rFonts w:ascii="Arial" w:hAnsi="Arial"/>
      <w:color w:val="000000" w:themeColor="text1"/>
    </w:rPr>
  </w:style>
  <w:style w:type="character" w:customStyle="1" w:styleId="BillNumberOldChar">
    <w:name w:val="Bill Number Old Char"/>
    <w:basedOn w:val="DefaultParagraphFont"/>
    <w:link w:val="BillNumberOld"/>
    <w:rsid w:val="007C06D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C06D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C06D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C06D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C06D6"/>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7C06D6"/>
    <w:rPr>
      <w:rFonts w:ascii="Arial" w:eastAsia="Calibri" w:hAnsi="Arial"/>
      <w:b/>
      <w:color w:val="000000"/>
      <w:sz w:val="36"/>
    </w:rPr>
  </w:style>
  <w:style w:type="paragraph" w:customStyle="1" w:styleId="HeaderStyleOld">
    <w:name w:val="Header Style Old"/>
    <w:basedOn w:val="Header"/>
    <w:link w:val="HeaderStyleOldChar"/>
    <w:autoRedefine/>
    <w:rsid w:val="007C06D6"/>
    <w:rPr>
      <w:sz w:val="20"/>
      <w:szCs w:val="20"/>
    </w:rPr>
  </w:style>
  <w:style w:type="character" w:customStyle="1" w:styleId="HeaderStyleOldChar">
    <w:name w:val="Header Style Old Char"/>
    <w:basedOn w:val="HeaderChar"/>
    <w:link w:val="HeaderStyleOld"/>
    <w:rsid w:val="007C06D6"/>
    <w:rPr>
      <w:rFonts w:ascii="Arial" w:hAnsi="Arial"/>
      <w:color w:val="000000" w:themeColor="text1"/>
      <w:sz w:val="20"/>
      <w:szCs w:val="20"/>
    </w:rPr>
  </w:style>
  <w:style w:type="character" w:customStyle="1" w:styleId="Underline">
    <w:name w:val="Underline"/>
    <w:uiPriority w:val="1"/>
    <w:rsid w:val="007C06D6"/>
    <w:rPr>
      <w:rFonts w:ascii="Arial" w:hAnsi="Arial"/>
      <w:color w:val="auto"/>
      <w:sz w:val="22"/>
      <w:u w:val="single"/>
    </w:rPr>
  </w:style>
  <w:style w:type="paragraph" w:customStyle="1" w:styleId="ArticleHeading">
    <w:name w:val="Article Heading"/>
    <w:basedOn w:val="ArticleHeadingOld"/>
    <w:qFormat/>
    <w:rsid w:val="007C06D6"/>
  </w:style>
  <w:style w:type="paragraph" w:customStyle="1" w:styleId="ChapterHeading">
    <w:name w:val="Chapter Heading"/>
    <w:basedOn w:val="ChapterHeadingOld"/>
    <w:next w:val="Normal"/>
    <w:qFormat/>
    <w:rsid w:val="007C06D6"/>
  </w:style>
  <w:style w:type="paragraph" w:customStyle="1" w:styleId="EnactingSection">
    <w:name w:val="Enacting Section"/>
    <w:basedOn w:val="EnactingSectionOld"/>
    <w:qFormat/>
    <w:rsid w:val="007C06D6"/>
  </w:style>
  <w:style w:type="paragraph" w:customStyle="1" w:styleId="PartHeading">
    <w:name w:val="Part Heading"/>
    <w:basedOn w:val="PartHeadingOld"/>
    <w:qFormat/>
    <w:rsid w:val="007C06D6"/>
  </w:style>
  <w:style w:type="paragraph" w:customStyle="1" w:styleId="SectionBody">
    <w:name w:val="Section Body"/>
    <w:basedOn w:val="SectionBodyOld"/>
    <w:qFormat/>
    <w:rsid w:val="007C06D6"/>
  </w:style>
  <w:style w:type="paragraph" w:customStyle="1" w:styleId="SectionHeading">
    <w:name w:val="Section Heading"/>
    <w:basedOn w:val="SectionHeadingOld"/>
    <w:qFormat/>
    <w:rsid w:val="007C06D6"/>
  </w:style>
  <w:style w:type="character" w:customStyle="1" w:styleId="Strike-Through">
    <w:name w:val="Strike-Through"/>
    <w:uiPriority w:val="1"/>
    <w:rsid w:val="007C06D6"/>
    <w:rPr>
      <w:strike/>
      <w:dstrike w:val="0"/>
      <w:color w:val="auto"/>
    </w:rPr>
  </w:style>
  <w:style w:type="paragraph" w:customStyle="1" w:styleId="ChamberTitle">
    <w:name w:val="Chamber Title"/>
    <w:next w:val="Normal"/>
    <w:link w:val="ChamberTitleChar"/>
    <w:rsid w:val="007C06D6"/>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7C06D6"/>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97064FBD64D41B3E3A43AACF08980"/>
        <w:category>
          <w:name w:val="General"/>
          <w:gallery w:val="placeholder"/>
        </w:category>
        <w:types>
          <w:type w:val="bbPlcHdr"/>
        </w:types>
        <w:behaviors>
          <w:behavior w:val="content"/>
        </w:behaviors>
        <w:guid w:val="{083FFF42-753A-40F5-8D98-9FD3342575D5}"/>
      </w:docPartPr>
      <w:docPartBody>
        <w:p w:rsidR="00CB2872" w:rsidRDefault="00966D2A" w:rsidP="00966D2A">
          <w:pPr>
            <w:pStyle w:val="C7097064FBD64D41B3E3A43AACF08980"/>
          </w:pPr>
          <w:r w:rsidRPr="00B844FE">
            <w:t>[Type here]</w:t>
          </w:r>
        </w:p>
      </w:docPartBody>
    </w:docPart>
    <w:docPart>
      <w:docPartPr>
        <w:name w:val="5752D856E6034B80B61AEFEB7BA6D4DC"/>
        <w:category>
          <w:name w:val="General"/>
          <w:gallery w:val="placeholder"/>
        </w:category>
        <w:types>
          <w:type w:val="bbPlcHdr"/>
        </w:types>
        <w:behaviors>
          <w:behavior w:val="content"/>
        </w:behaviors>
        <w:guid w:val="{133CC374-6527-4325-85AF-EE062286DEAC}"/>
      </w:docPartPr>
      <w:docPartBody>
        <w:p w:rsidR="00CB2872" w:rsidRDefault="00966D2A" w:rsidP="00966D2A">
          <w:pPr>
            <w:pStyle w:val="5752D856E6034B80B61AEFEB7BA6D4DC"/>
          </w:pPr>
          <w:r w:rsidRPr="00B844FE">
            <w:t>Prefix Text</w:t>
          </w:r>
        </w:p>
      </w:docPartBody>
    </w:docPart>
    <w:docPart>
      <w:docPartPr>
        <w:name w:val="93278B80BB4643EC82429A8CD16700E4"/>
        <w:category>
          <w:name w:val="General"/>
          <w:gallery w:val="placeholder"/>
        </w:category>
        <w:types>
          <w:type w:val="bbPlcHdr"/>
        </w:types>
        <w:behaviors>
          <w:behavior w:val="content"/>
        </w:behaviors>
        <w:guid w:val="{EE807817-6BB8-490E-80DB-87CFF00BF2FD}"/>
      </w:docPartPr>
      <w:docPartBody>
        <w:p w:rsidR="00CB2872" w:rsidRDefault="00966D2A" w:rsidP="00966D2A">
          <w:pPr>
            <w:pStyle w:val="93278B80BB4643EC82429A8CD16700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2A"/>
    <w:rsid w:val="00481D7F"/>
    <w:rsid w:val="00966D2A"/>
    <w:rsid w:val="00CB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097064FBD64D41B3E3A43AACF08980">
    <w:name w:val="C7097064FBD64D41B3E3A43AACF08980"/>
    <w:rsid w:val="00966D2A"/>
  </w:style>
  <w:style w:type="character" w:styleId="PlaceholderText">
    <w:name w:val="Placeholder Text"/>
    <w:basedOn w:val="DefaultParagraphFont"/>
    <w:uiPriority w:val="99"/>
    <w:semiHidden/>
    <w:rsid w:val="00966D2A"/>
    <w:rPr>
      <w:color w:val="808080"/>
    </w:rPr>
  </w:style>
  <w:style w:type="paragraph" w:customStyle="1" w:styleId="5752D856E6034B80B61AEFEB7BA6D4DC">
    <w:name w:val="5752D856E6034B80B61AEFEB7BA6D4DC"/>
    <w:rsid w:val="00966D2A"/>
  </w:style>
  <w:style w:type="paragraph" w:customStyle="1" w:styleId="93278B80BB4643EC82429A8CD16700E4">
    <w:name w:val="93278B80BB4643EC82429A8CD16700E4"/>
    <w:rsid w:val="00966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8</cp:revision>
  <dcterms:created xsi:type="dcterms:W3CDTF">2022-04-22T17:46:00Z</dcterms:created>
  <dcterms:modified xsi:type="dcterms:W3CDTF">2022-04-25T13:52:00Z</dcterms:modified>
</cp:coreProperties>
</file>